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30"/>
    <w:p>
      <w:pPr>
        <w:pStyle w:val="Heading1"/>
      </w:pPr>
      <w:r>
        <w:t xml:space="preserve">Homiletics Analysis: Numbers 30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30 presents the LORD’s law governing vows — solemn promises made to God — with particular attention to the conditions under which a vow may be annulled by a human authority (father or husband) and under what circumstances the vow stands binding. The chapter opens with a brief, absolute statement: a man who makes a vow to the LORD must not break his word but must do everything he has sworn (v. 2). This absolute serves as the chapter’s theological foundation. The remainder of the chapter then works through a series of case-law scenarios involving women whose vows may be subject to the authority of a male household head — a young woman still in her father’s house (vv. 3–5), a woman whose vow was made before marriage and whose husband hears it after the wedding (vv. 6–8), a widow or divorced woman (v. 9), and a married woman whose husband hears her vow and either annuls or permits it (vv. 10–15). The chapter closes with a summary statement attributing these statutes to Moses from the LORD (v. 16).</w:t>
      </w:r>
    </w:p>
    <w:p>
      <w:pPr>
        <w:pStyle w:val="BodyText"/>
      </w:pPr>
      <w:r>
        <w:t xml:space="preserve">The structural logic is not primarily sociological but theological: vows are serious, the LORD holds people to their words, and the structure of household authority creates a legitimate mechanism by which responsibility can be transferred — but not evaded. When a male authority annuls a vow and the woman suffers consequences for it, the guilt is his, not hers. When he remains silent, the vow stands. Responsibility follows authority. The chapter is case law in the service of a theological truth about the nature of a word pledged to God.</w:t>
      </w:r>
    </w:p>
    <w:p>
      <w:pPr>
        <w:pStyle w:val="BodyText"/>
      </w:pPr>
      <w:r>
        <w:rPr>
          <w:b/>
          <w:bCs/>
        </w:rPr>
        <w:t xml:space="preserve">This Text — Intent</w:t>
      </w:r>
    </w:p>
    <w:p>
      <w:pPr>
        <w:pStyle w:val="BodyText"/>
      </w:pPr>
      <w:r>
        <w:t xml:space="preserve">God’s intent through this passage is to impress upon His covenant people the absolute seriousness of words spoken to Him and the moral weight of the authority entrusted to household heads. The LORD is not a figure before whom casual commitments can be made and quietly forgotten. Words pledged to Him bind. The chapter’s case-law structure is not primarily about limiting women’s legal autonomy — it is about ensuring that no one uses a household relationship as a loophole to escape obligations solemnly made before the Living God. God is calling His people to integrity of speech, to sober-mindedness before Him, and to a rightly ordered understanding of authority as responsibility, not privilege. The effect sought in the reader is reverent seriousness toward all speech before God and a recognition that covenant commitment is not casual and not revocable by convenience.</w:t>
      </w:r>
    </w:p>
    <w:p>
      <w:r>
        <w:pict>
          <v:rect style="width:0;height:1.5pt" o:hralign="center" o:hrstd="t" o:hr="t"/>
        </w:pict>
      </w:r>
    </w:p>
    <w:p>
      <w:pPr>
        <w:pStyle w:val="FirstParagraph"/>
      </w:pPr>
      <w:r>
        <w:rPr>
          <w:b/>
          <w:bCs/>
        </w:rPr>
        <w:t xml:space="preserve">Subject Sentence:</w:t>
      </w:r>
      <w:r>
        <w:t xml:space="preserve"> </w:t>
      </w:r>
      <w:r>
        <w:t xml:space="preserve">Words pledged to the LORD bind absolutely — authority over vows carries moral responsibility, not exemption.</w:t>
      </w:r>
    </w:p>
    <w:p>
      <w:r>
        <w:pict>
          <v:rect style="width:0;height:1.5pt" o:hralign="center" o:hrstd="t" o:hr="t"/>
        </w:pict>
      </w:r>
    </w:p>
    <w:p>
      <w:pPr>
        <w:pStyle w:val="FirstParagraph"/>
      </w:pPr>
      <w:r>
        <w:rPr>
          <w:b/>
          <w:bCs/>
        </w:rPr>
        <w:t xml:space="preserve">Primary Claim:</w:t>
      </w:r>
      <w:r>
        <w:t xml:space="preserve"> </w:t>
      </w:r>
      <w:r>
        <w:t xml:space="preserve">God calls His covenant people to treat every word spoken before Him as binding and irreversible, and to understand that authority over others’ vows is a burden of accountability, not a mechanism of escape.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gender and authority question</w:t>
      </w:r>
      <w:r>
        <w:t xml:space="preserve">: The most common point of friction in contemporary exposition of Numbers 30 is the passage’s apparent subordination of women’s vows to male household authority. Several interpretive approaches must be evaluated.</w:t>
      </w:r>
    </w:p>
    <w:p>
      <w:pPr>
        <w:pStyle w:val="BodyText"/>
      </w:pPr>
      <w:r>
        <w:t xml:space="preserve">A</w:t>
      </w:r>
      <w:r>
        <w:t xml:space="preserve"> </w:t>
      </w:r>
      <w:r>
        <w:rPr>
          <w:b/>
          <w:bCs/>
        </w:rPr>
        <w:t xml:space="preserve">progressive or redemptive-movement</w:t>
      </w:r>
      <w:r>
        <w:t xml:space="preserve"> </w:t>
      </w:r>
      <w:r>
        <w:t xml:space="preserve">reading (associated with William Webb and similar frameworks) acknowledges the passage’s ancient Near Eastern social context and argues that the underlying trajectory of Scripture moves toward greater equality, such that the male-authority structure here is a culturally conditioned accommodation to be transcended. This reading is worth</w:t>
      </w:r>
      <w:r>
        <w:t xml:space="preserve"> </w:t>
      </w:r>
      <w:r>
        <w:rPr>
          <w:i/>
          <w:iCs/>
        </w:rPr>
        <w:t xml:space="preserve">acknowledging</w:t>
      </w:r>
      <w:r>
        <w:t xml:space="preserve"> </w:t>
      </w:r>
      <w:r>
        <w:t xml:space="preserve">insofar as it correctly notes that the passage must be read in its ancient Israelite household context. However, it</w:t>
      </w:r>
      <w:r>
        <w:t xml:space="preserve"> </w:t>
      </w:r>
      <w:r>
        <w:rPr>
          <w:i/>
          <w:iCs/>
        </w:rPr>
        <w:t xml:space="preserve">overreaches</w:t>
      </w:r>
      <w:r>
        <w:t xml:space="preserve"> </w:t>
      </w:r>
      <w:r>
        <w:t xml:space="preserve">by treating the passage’s household structure as the primary point rather than as the vehicle for a theological claim about vows and authority. The Reformed reading does not require defending every feature of ancient Israelite social organization as permanently normative — but it also refuses to collapse the passage into a dated cultural artifact. The theological point about authority entailing responsibility retains permanent force even where the specific legal mechanisms are covenant-historically conditioned.</w:t>
      </w:r>
    </w:p>
    <w:p>
      <w:pPr>
        <w:pStyle w:val="BodyText"/>
      </w:pPr>
      <w:r>
        <w:t xml:space="preserve">A</w:t>
      </w:r>
      <w:r>
        <w:t xml:space="preserve"> </w:t>
      </w:r>
      <w:r>
        <w:rPr>
          <w:b/>
          <w:bCs/>
        </w:rPr>
        <w:t xml:space="preserve">flat moralistic</w:t>
      </w:r>
      <w:r>
        <w:t xml:space="preserve"> </w:t>
      </w:r>
      <w:r>
        <w:t xml:space="preserve">reading simply observes the case laws and concludes:</w:t>
      </w:r>
      <w:r>
        <w:t xml:space="preserve"> </w:t>
      </w:r>
      <w:r>
        <w:t xml:space="preserve">“keep your vows; fathers and husbands have authority over women’s vows.”</w:t>
      </w:r>
      <w:r>
        <w:t xml:space="preserve"> </w:t>
      </w:r>
      <w:r>
        <w:t xml:space="preserve">This reading is exegetically accurate at the surface level but fails to account for the passage’s deeper theological freight: the reason vows must be kept is that the LORD is the one before whom they were spoken, and the reason authority over vows carries guilt is that authority before God is never a privilege but always an obligation. To moralize from this passage without grounding the imperative in the character of the God to whom vows are made is to reduce it to social ethics.</w:t>
      </w:r>
    </w:p>
    <w:p>
      <w:pPr>
        <w:pStyle w:val="BodyText"/>
      </w:pPr>
      <w:r>
        <w:t xml:space="preserve">A</w:t>
      </w:r>
      <w:r>
        <w:t xml:space="preserve"> </w:t>
      </w:r>
      <w:r>
        <w:rPr>
          <w:b/>
          <w:bCs/>
        </w:rPr>
        <w:t xml:space="preserve">Lutheran Law/Gospel</w:t>
      </w:r>
      <w:r>
        <w:t xml:space="preserve"> </w:t>
      </w:r>
      <w:r>
        <w:t xml:space="preserve">approach tends to read case law passages like this primarily as instruments of conviction — showing the impossibility of keeping one’s word perfectly before a holy God and thus driving the reader to Christ. This reading</w:t>
      </w:r>
      <w:r>
        <w:t xml:space="preserve"> </w:t>
      </w:r>
      <w:r>
        <w:rPr>
          <w:i/>
          <w:iCs/>
        </w:rPr>
        <w:t xml:space="preserve">acknowledges</w:t>
      </w:r>
      <w:r>
        <w:t xml:space="preserve"> </w:t>
      </w:r>
      <w:r>
        <w:t xml:space="preserve">a genuine dimension: the chapter’s absolute standard (v. 2,</w:t>
      </w:r>
      <w:r>
        <w:t xml:space="preserve"> </w:t>
      </w:r>
      <w:r>
        <w:t xml:space="preserve">“he must not break his word”</w:t>
      </w:r>
      <w:r>
        <w:t xml:space="preserve">) does place an impossible demand before sinners and points to the one who fulfilled every word of covenant commitment in our place. However,</w:t>
      </w:r>
      <w:r>
        <w:t xml:space="preserve"> </w:t>
      </w:r>
      <w:r>
        <w:rPr>
          <w:i/>
          <w:iCs/>
        </w:rPr>
        <w:t xml:space="preserve">qualifying</w:t>
      </w:r>
      <w:r>
        <w:t xml:space="preserve"> </w:t>
      </w:r>
      <w:r>
        <w:t xml:space="preserve">this reading is necessary: the chapter is functioning positively within the covenant community, giving practical shape to what faithful speech looks like. It is instruction, not merely accusation.</w:t>
      </w:r>
    </w:p>
    <w:p>
      <w:pPr>
        <w:pStyle w:val="BodyText"/>
      </w:pPr>
      <w:r>
        <w:rPr>
          <w:b/>
          <w:bCs/>
        </w:rPr>
        <w:t xml:space="preserve">The Reformed reading</w:t>
      </w:r>
      <w:r>
        <w:t xml:space="preserve"> </w:t>
      </w:r>
      <w:r>
        <w:t xml:space="preserve">holds these together: Numbers 30 is genuine covenant-community instruction about the holiness of God and the moral weight of speech before Him. Its case-law structure is genuinely normative for the principle (authority entails responsibility; vows to God bind) even where its specific Israelite household mechanisms are no longer directly transferable. The passage is not primarily about gender roles — it is about what it means to live as a people whose words are heard by the living, covenant-keeping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23:21–23</w:t>
      </w:r>
      <w:r>
        <w:t xml:space="preserve"> </w:t>
      </w:r>
      <w:r>
        <w:t xml:space="preserve">— The Mosaic law’s parallel treatment of vows:</w:t>
      </w:r>
      <w:r>
        <w:t xml:space="preserve"> </w:t>
      </w:r>
      <w:r>
        <w:t xml:space="preserve">“When you make a vow to the LORD your God, do not be slow to pay it.”</w:t>
      </w:r>
      <w:r>
        <w:t xml:space="preserve"> </w:t>
      </w:r>
      <w:r>
        <w:t xml:space="preserve">Grounds the binding nature of vows in the character of God and the seriousness of covenant speech, providing the canonical echo chamber for Numbers 30’s opening verse.</w:t>
      </w:r>
    </w:p>
    <w:p>
      <w:pPr>
        <w:numPr>
          <w:ilvl w:val="0"/>
          <w:numId w:val="1001"/>
        </w:numPr>
      </w:pPr>
      <w:r>
        <w:rPr>
          <w:b/>
          <w:bCs/>
        </w:rPr>
        <w:t xml:space="preserve">Ecclesiastes 5:1–7</w:t>
      </w:r>
      <w:r>
        <w:t xml:space="preserve"> </w:t>
      </w:r>
      <w:r>
        <w:t xml:space="preserve">—</w:t>
      </w:r>
      <w:r>
        <w:t xml:space="preserve"> </w:t>
      </w:r>
      <w:r>
        <w:t xml:space="preserve">“God is in heaven and you are on earth, so let your words be few… It is better not to make a vow than to make one and not fulfill it.”</w:t>
      </w:r>
      <w:r>
        <w:t xml:space="preserve"> </w:t>
      </w:r>
      <w:r>
        <w:t xml:space="preserve">Reflects the Numbers 30 principle as wisdom: the fear of the LORD expressed in sober, careful speech rather than rash commitment.</w:t>
      </w:r>
    </w:p>
    <w:p>
      <w:pPr>
        <w:numPr>
          <w:ilvl w:val="0"/>
          <w:numId w:val="1001"/>
        </w:numPr>
      </w:pPr>
      <w:r>
        <w:rPr>
          <w:b/>
          <w:bCs/>
        </w:rPr>
        <w:t xml:space="preserve">Matthew 5:33–37</w:t>
      </w:r>
      <w:r>
        <w:t xml:space="preserve"> </w:t>
      </w:r>
      <w:r>
        <w:t xml:space="preserve">— Jesus’ expansion of the vow-keeping tradition in the Sermon on the Mount, cutting beneath the case-law structure to the underlying reality: let your yes be yes and your no be no, because you speak before God at all times. This is the trajectory the Numbers 30 principle finds in the new covenant — not a set of annulment provisions but a transformed heart and tongue.</w:t>
      </w:r>
    </w:p>
    <w:p>
      <w:pPr>
        <w:numPr>
          <w:ilvl w:val="0"/>
          <w:numId w:val="1001"/>
        </w:numPr>
      </w:pPr>
      <w:r>
        <w:rPr>
          <w:b/>
          <w:bCs/>
        </w:rPr>
        <w:t xml:space="preserve">James 5:12</w:t>
      </w:r>
      <w:r>
        <w:t xml:space="preserve"> </w:t>
      </w:r>
      <w:r>
        <w:t xml:space="preserve">—</w:t>
      </w:r>
      <w:r>
        <w:t xml:space="preserve"> </w:t>
      </w:r>
      <w:r>
        <w:t xml:space="preserve">“Above all, my brothers and sisters, do not swear… Let your yes be yes and your no be no, or you will be condemned.”</w:t>
      </w:r>
      <w:r>
        <w:t xml:space="preserve"> </w:t>
      </w:r>
      <w:r>
        <w:t xml:space="preserve">The New Testament echo of the Numbers 30 principle, pressing the same claim: the covenant God takes our words with absolute seriousness.</w:t>
      </w:r>
    </w:p>
    <w:p>
      <w:pPr>
        <w:numPr>
          <w:ilvl w:val="0"/>
          <w:numId w:val="1001"/>
        </w:numPr>
      </w:pPr>
      <w:r>
        <w:rPr>
          <w:b/>
          <w:bCs/>
        </w:rPr>
        <w:t xml:space="preserve">Hebrews 6:13–18</w:t>
      </w:r>
      <w:r>
        <w:t xml:space="preserve"> </w:t>
      </w:r>
      <w:r>
        <w:t xml:space="preserve">— God Himself swears by His own name because He can swear by no greater — the ultimate grounding of the vow principle in God’s own covenant faithfulness. The God who binds us by our words is the God who has bound Himself by His own.</w:t>
      </w:r>
    </w:p>
    <w:p>
      <w:r>
        <w:pict>
          <v:rect style="width:0;height:1.5pt" o:hralign="center" o:hrstd="t" o:hr="t"/>
        </w:pict>
      </w:r>
    </w:p>
    <w:p>
      <w:pPr>
        <w:pStyle w:val="FirstParagraph"/>
      </w:pPr>
      <w:r>
        <w:rPr>
          <w:b/>
          <w:bCs/>
        </w:rPr>
        <w:t xml:space="preserve">Aim:</w:t>
      </w:r>
      <w:r>
        <w:t xml:space="preserve"> </w:t>
      </w:r>
      <w:r>
        <w:t xml:space="preserve">To establish from Numbers 30 that the covenant God treats words pledged to Him as absolutely binding, and to press this claim upon the reader as a call to integrity of speech and sobriety before the God who hears every promise.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Moses delivers the LORD’s statutes to the tribal leaders; a man who makes a vow or oath to the LORD must not break his word — he must do everything he said</w:t>
            </w:r>
          </w:p>
        </w:tc>
        <w:tc>
          <w:tcPr/>
          <w:p>
            <w:pPr>
              <w:pStyle w:val="Compact"/>
            </w:pPr>
            <w:r>
              <w:t xml:space="preserve">Foundational absolute: the governing principle stated before all cases;</w:t>
            </w:r>
            <w:r>
              <w:t xml:space="preserve"> </w:t>
            </w:r>
            <w:r>
              <w:t xml:space="preserve">“not break his word”</w:t>
            </w:r>
            <w:r>
              <w:t xml:space="preserve"> </w:t>
            </w:r>
            <w:r>
              <w:t xml:space="preserve">is</w:t>
            </w:r>
            <w:r>
              <w:t xml:space="preserve"> </w:t>
            </w:r>
            <w:r>
              <w:rPr>
                <w:i/>
                <w:iCs/>
              </w:rPr>
              <w:t xml:space="preserve">lo’ yachel</w:t>
            </w:r>
            <w:r>
              <w:t xml:space="preserve"> </w:t>
            </w:r>
            <w:r>
              <w:t xml:space="preserve">— to profane or defile; vow-breaking is treated as sacrilege</w:t>
            </w:r>
          </w:p>
        </w:tc>
      </w:tr>
      <w:tr>
        <w:tc>
          <w:tcPr/>
          <w:p>
            <w:pPr>
              <w:pStyle w:val="Compact"/>
            </w:pPr>
            <w:r>
              <w:t xml:space="preserve">3–5</w:t>
            </w:r>
          </w:p>
        </w:tc>
        <w:tc>
          <w:tcPr/>
          <w:p>
            <w:pPr>
              <w:pStyle w:val="Compact"/>
            </w:pPr>
            <w:r>
              <w:t xml:space="preserve">A young woman still in her father’s house makes a vow; if her father hears it and remains silent, the vow stands; if her father forbids it on the day he hears it, the vow is annulled and the LORD will release her</w:t>
            </w:r>
          </w:p>
        </w:tc>
        <w:tc>
          <w:tcPr/>
          <w:p>
            <w:pPr>
              <w:pStyle w:val="Compact"/>
            </w:pPr>
            <w:r>
              <w:t xml:space="preserve">Case 1: daughter in father’s house; silence = ratification; prompt objection = annulment; father’s authority must be exercised immediately upon hearing</w:t>
            </w:r>
          </w:p>
        </w:tc>
      </w:tr>
      <w:tr>
        <w:tc>
          <w:tcPr/>
          <w:p>
            <w:pPr>
              <w:pStyle w:val="Compact"/>
            </w:pPr>
            <w:r>
              <w:t xml:space="preserve">6–8</w:t>
            </w:r>
          </w:p>
        </w:tc>
        <w:tc>
          <w:tcPr/>
          <w:p>
            <w:pPr>
              <w:pStyle w:val="Compact"/>
            </w:pPr>
            <w:r>
              <w:t xml:space="preserve">A woman whose vow was made before marriage, and whose husband hears it after the wedding; if he is silent on the day he hears it, the vow stands; if he forbids it on that day, it is annulled and the LORD will release her</w:t>
            </w:r>
          </w:p>
        </w:tc>
        <w:tc>
          <w:tcPr/>
          <w:p>
            <w:pPr>
              <w:pStyle w:val="Compact"/>
            </w:pPr>
            <w:r>
              <w:t xml:space="preserve">Case 2: premarital vow carried into marriage; husband’s authority triggers on hearing; same logic as father — silence is ratification</w:t>
            </w:r>
          </w:p>
        </w:tc>
      </w:tr>
      <w:tr>
        <w:tc>
          <w:tcPr/>
          <w:p>
            <w:pPr>
              <w:pStyle w:val="Compact"/>
            </w:pPr>
            <w:r>
              <w:t xml:space="preserve">9</w:t>
            </w:r>
          </w:p>
        </w:tc>
        <w:tc>
          <w:tcPr/>
          <w:p>
            <w:pPr>
              <w:pStyle w:val="Compact"/>
            </w:pPr>
            <w:r>
              <w:t xml:space="preserve">A widow’s or divorced woman’s vow stands — whatever she has pledged binds her</w:t>
            </w:r>
          </w:p>
        </w:tc>
        <w:tc>
          <w:tcPr/>
          <w:p>
            <w:pPr>
              <w:pStyle w:val="Compact"/>
            </w:pPr>
            <w:r>
              <w:t xml:space="preserve">Case 3: no male household authority = full personal obligation; consistency of the principle — no authority present means no possibility of annulment</w:t>
            </w:r>
          </w:p>
        </w:tc>
      </w:tr>
      <w:tr>
        <w:tc>
          <w:tcPr/>
          <w:p>
            <w:pPr>
              <w:pStyle w:val="Compact"/>
            </w:pPr>
            <w:r>
              <w:t xml:space="preserve">10–15</w:t>
            </w:r>
          </w:p>
        </w:tc>
        <w:tc>
          <w:tcPr/>
          <w:p>
            <w:pPr>
              <w:pStyle w:val="Compact"/>
            </w:pPr>
            <w:r>
              <w:t xml:space="preserve">A married woman’s vow; if husband hears it and is silent, it stands; if he later tries to annul it after initial silence, he bears her iniquity</w:t>
            </w:r>
          </w:p>
        </w:tc>
        <w:tc>
          <w:tcPr/>
          <w:p>
            <w:pPr>
              <w:pStyle w:val="Compact"/>
            </w:pPr>
            <w:r>
              <w:t xml:space="preserve">Case 4: the critical guilt-transfer provision; if the husband waits and then nullifies, the guilt for the broken vow falls on him, not on her; the LORD holds the one who bore the authority accountable</w:t>
            </w:r>
          </w:p>
        </w:tc>
      </w:tr>
      <w:tr>
        <w:tc>
          <w:tcPr/>
          <w:p>
            <w:pPr>
              <w:pStyle w:val="Compact"/>
            </w:pPr>
            <w:r>
              <w:t xml:space="preserve">16</w:t>
            </w:r>
          </w:p>
        </w:tc>
        <w:tc>
          <w:tcPr/>
          <w:p>
            <w:pPr>
              <w:pStyle w:val="Compact"/>
            </w:pPr>
            <w:r>
              <w:t xml:space="preserve">Summary:</w:t>
            </w:r>
            <w:r>
              <w:t xml:space="preserve"> </w:t>
            </w:r>
            <w:r>
              <w:t xml:space="preserve">“These are the statutes the LORD gave Moses concerning relationships between a man and his wife, and between a father and his young daughter still living at home”</w:t>
            </w:r>
          </w:p>
        </w:tc>
        <w:tc>
          <w:tcPr/>
          <w:p>
            <w:pPr>
              <w:pStyle w:val="Compact"/>
            </w:pPr>
            <w:r>
              <w:t xml:space="preserve">Closing attribution; defines the relational scope of the law;</w:t>
            </w:r>
            <w:r>
              <w:t xml:space="preserve"> </w:t>
            </w:r>
            <w:r>
              <w:t xml:space="preserve">“relationships”</w:t>
            </w:r>
            <w:r>
              <w:t xml:space="preserve"> </w:t>
            </w:r>
            <w:r>
              <w:t xml:space="preserve">(</w:t>
            </w:r>
            <w:r>
              <w:rPr>
                <w:i/>
                <w:iCs/>
              </w:rPr>
              <w:t xml:space="preserve">bên ish le’ishtô</w:t>
            </w:r>
            <w:r>
              <w:t xml:space="preserve">) frames the whole as household-covenant order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Absolute: Words Before the LORD Bind Without Exception</w:t>
            </w:r>
          </w:p>
        </w:tc>
      </w:tr>
      <w:tr>
        <w:tc>
          <w:tcPr/>
          <w:p>
            <w:pPr>
              <w:pStyle w:val="Compact"/>
            </w:pPr>
            <w:r>
              <w:t xml:space="preserve">2</w:t>
            </w:r>
          </w:p>
        </w:tc>
        <w:tc>
          <w:tcPr/>
          <w:p>
            <w:pPr>
              <w:pStyle w:val="Compact"/>
            </w:pPr>
            <w:r>
              <w:t xml:space="preserve">3–5</w:t>
            </w:r>
          </w:p>
        </w:tc>
        <w:tc>
          <w:tcPr/>
          <w:p>
            <w:pPr>
              <w:pStyle w:val="Compact"/>
            </w:pPr>
            <w:r>
              <w:t xml:space="preserve">Case One: The Daughter Under Her Father’s Roof</w:t>
            </w:r>
          </w:p>
        </w:tc>
      </w:tr>
      <w:tr>
        <w:tc>
          <w:tcPr/>
          <w:p>
            <w:pPr>
              <w:pStyle w:val="Compact"/>
            </w:pPr>
            <w:r>
              <w:t xml:space="preserve">3</w:t>
            </w:r>
          </w:p>
        </w:tc>
        <w:tc>
          <w:tcPr/>
          <w:p>
            <w:pPr>
              <w:pStyle w:val="Compact"/>
            </w:pPr>
            <w:r>
              <w:t xml:space="preserve">6–8</w:t>
            </w:r>
          </w:p>
        </w:tc>
        <w:tc>
          <w:tcPr/>
          <w:p>
            <w:pPr>
              <w:pStyle w:val="Compact"/>
            </w:pPr>
            <w:r>
              <w:t xml:space="preserve">Case Two: The Premarital Vow That Carries Into Marriage</w:t>
            </w:r>
          </w:p>
        </w:tc>
      </w:tr>
      <w:tr>
        <w:tc>
          <w:tcPr/>
          <w:p>
            <w:pPr>
              <w:pStyle w:val="Compact"/>
            </w:pPr>
            <w:r>
              <w:t xml:space="preserve">4</w:t>
            </w:r>
          </w:p>
        </w:tc>
        <w:tc>
          <w:tcPr/>
          <w:p>
            <w:pPr>
              <w:pStyle w:val="Compact"/>
            </w:pPr>
            <w:r>
              <w:t xml:space="preserve">9</w:t>
            </w:r>
          </w:p>
        </w:tc>
        <w:tc>
          <w:tcPr/>
          <w:p>
            <w:pPr>
              <w:pStyle w:val="Compact"/>
            </w:pPr>
            <w:r>
              <w:t xml:space="preserve">Case Three: The Woman Answerable to No Human Authority</w:t>
            </w:r>
          </w:p>
        </w:tc>
      </w:tr>
      <w:tr>
        <w:tc>
          <w:tcPr/>
          <w:p>
            <w:pPr>
              <w:pStyle w:val="Compact"/>
            </w:pPr>
            <w:r>
              <w:t xml:space="preserve">5</w:t>
            </w:r>
          </w:p>
        </w:tc>
        <w:tc>
          <w:tcPr/>
          <w:p>
            <w:pPr>
              <w:pStyle w:val="Compact"/>
            </w:pPr>
            <w:r>
              <w:t xml:space="preserve">10–15</w:t>
            </w:r>
          </w:p>
        </w:tc>
        <w:tc>
          <w:tcPr/>
          <w:p>
            <w:pPr>
              <w:pStyle w:val="Compact"/>
            </w:pPr>
            <w:r>
              <w:t xml:space="preserve">Case Four: The Married Woman — and Where Guilt Falls</w:t>
            </w:r>
          </w:p>
        </w:tc>
      </w:tr>
      <w:tr>
        <w:tc>
          <w:tcPr/>
          <w:p>
            <w:pPr>
              <w:pStyle w:val="Compact"/>
            </w:pPr>
            <w:r>
              <w:t xml:space="preserve">6</w:t>
            </w:r>
          </w:p>
        </w:tc>
        <w:tc>
          <w:tcPr/>
          <w:p>
            <w:pPr>
              <w:pStyle w:val="Compact"/>
            </w:pPr>
            <w:r>
              <w:t xml:space="preserve">16</w:t>
            </w:r>
          </w:p>
        </w:tc>
        <w:tc>
          <w:tcPr/>
          <w:p>
            <w:pPr>
              <w:pStyle w:val="Compact"/>
            </w:pPr>
            <w:r>
              <w:t xml:space="preserve">Summary: The LORD’s Statutes for Covenant Households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Words pledged to the LORD bind absolutely — authority over vows carries moral responsibility, not exemption.</w:t>
      </w:r>
    </w:p>
    <w:p>
      <w:pPr>
        <w:pStyle w:val="BodyText"/>
      </w:pPr>
      <w:r>
        <w:rPr>
          <w:b/>
          <w:bCs/>
        </w:rPr>
        <w:t xml:space="preserve">Primary Claim:</w:t>
      </w:r>
      <w:r>
        <w:t xml:space="preserve"> </w:t>
      </w:r>
      <w:r>
        <w:t xml:space="preserve">God calls His covenant people to treat every word spoken before Him as binding and irreversible, and to understand that authority over others’ vows is a burden of accountability, not a mechanism of escape.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Treat every commitment made before God as heard, received, and held by Him.</w:t>
      </w:r>
      <w:r>
        <w:t xml:space="preserve"> </w:t>
      </w:r>
      <w:r>
        <w:rPr>
          <w:i/>
          <w:iCs/>
        </w:rPr>
        <w:t xml:space="preserve">(Mind/Belief)</w:t>
      </w:r>
      <w:r>
        <w:t xml:space="preserve"> </w:t>
      </w:r>
      <w:r>
        <w:t xml:space="preserve">Numbers 30 opens by driving a stake into the ground: you do not make a promise to the LORD and then reconsider when circumstances shift. The God before whom vows are made is not an impersonal cosmic force that fails to notice when you quietly abandon what you swore. He hears. He holds. The most basic application of this passage is a renovated understanding of what it means to speak before a holy God — in prayer, in covenant membership, in marriage vows, in pledges of service or financial commitment. None of these are bureaucratic formalities. They are words spoken to the God who is present, who listens, and who takes your word as your bond.</w:t>
      </w:r>
    </w:p>
    <w:p>
      <w:pPr>
        <w:pStyle w:val="BodyText"/>
      </w:pPr>
      <w:r>
        <w:rPr>
          <w:b/>
          <w:bCs/>
        </w:rPr>
        <w:t xml:space="preserve">2. Sit with the weight of what you have already promised God and have not fulfilled.</w:t>
      </w:r>
      <w:r>
        <w:t xml:space="preserve"> </w:t>
      </w:r>
      <w:r>
        <w:rPr>
          <w:i/>
          <w:iCs/>
        </w:rPr>
        <w:t xml:space="preserve">(Affections/Worship)</w:t>
      </w:r>
      <w:r>
        <w:t xml:space="preserve"> </w:t>
      </w:r>
      <w:r>
        <w:t xml:space="preserve">Ecclesiastes 5 says it is better not to vow than to vow and not pay. Most people reading Numbers 30 have made commitments before God that have gone cold — baptismal vows, membership vows, marriage vows, vows made in crisis or grief that were quietly set aside when the crisis passed. This passage is not designed to produce crushing guilt but to produce grief that moves toward repentance and renewal. Let the seriousness of the God who holds vows produce in you not despair but the kind of holy sobriety that drives you back to Him — to confess, to renew, to re-commit, knowing that He is faithful even when we are not.</w:t>
      </w:r>
    </w:p>
    <w:p>
      <w:pPr>
        <w:pStyle w:val="BodyText"/>
      </w:pPr>
      <w:r>
        <w:rPr>
          <w:b/>
          <w:bCs/>
        </w:rPr>
        <w:t xml:space="preserve">3. Exercise the authority you hold over others as a burden of accountability before God, not as a privilege of exemption.</w:t>
      </w:r>
      <w:r>
        <w:t xml:space="preserve"> </w:t>
      </w:r>
      <w:r>
        <w:rPr>
          <w:i/>
          <w:iCs/>
        </w:rPr>
        <w:t xml:space="preserve">(Mind/Belief)</w:t>
      </w:r>
      <w:r>
        <w:t xml:space="preserve"> </w:t>
      </w:r>
      <w:r>
        <w:t xml:space="preserve">The chapter’s most striking legal provision is the guilt-transfer clause: if a husband annuls his wife’s vow after initial silence, he bears her iniquity (v. 15). Authority over others’ commitments is not a position of power that insulates the authority-holder from responsibility — it is precisely the opposite. Every person who holds a position of legitimate authority in a household, a church, an organization, or a community should feel the weight of this: to exercise authority over others is to take on their accountability, not to escape your own. Parents who shape the commitments of their children, elders who govern the life of a congregation, leaders who make decisions affecting those under their care — all of these bear a weight before God that is not lightened by their position.</w:t>
      </w:r>
    </w:p>
    <w:p>
      <w:pPr>
        <w:pStyle w:val="BodyText"/>
      </w:pPr>
      <w:r>
        <w:rPr>
          <w:b/>
          <w:bCs/>
        </w:rPr>
        <w:t xml:space="preserve">4. Let the God who bound Himself by His own oath become the foundation of your confidence in keeping your word.</w:t>
      </w:r>
      <w:r>
        <w:t xml:space="preserve"> </w:t>
      </w:r>
      <w:r>
        <w:rPr>
          <w:i/>
          <w:iCs/>
        </w:rPr>
        <w:t xml:space="preserve">(Affections/Worship)</w:t>
      </w:r>
      <w:r>
        <w:t xml:space="preserve"> </w:t>
      </w:r>
      <w:r>
        <w:t xml:space="preserve">The ultimate ground for covenant speech integrity is not willpower or moral seriousness — it is the character of the covenant God. Hebrews 6 presses this: God swore by Himself because He could swear by no greater. The God who calls you to keep your word is the God who has bound Himself irreversibly to His promises toward you in Christ. Your inability to keep your word perfectly before Him — the very failure this chapter’s case laws acknowledge can happen — is covered by the one who kept every word of covenant obligation in your place. Vow-keeping is not law-keeping as a performance before a demanding judge; it is a response of integrity toward a God who has already bound Himself to you.</w:t>
      </w:r>
    </w:p>
    <w:p>
      <w:pPr>
        <w:pStyle w:val="BodyText"/>
      </w:pPr>
      <w:r>
        <w:rPr>
          <w:b/>
          <w:bCs/>
        </w:rPr>
        <w:t xml:space="preserve">5. Guard the casualness of your speech in all commitments — public, private, and covenantal.</w:t>
      </w:r>
      <w:r>
        <w:t xml:space="preserve"> </w:t>
      </w:r>
      <w:r>
        <w:rPr>
          <w:i/>
          <w:iCs/>
        </w:rPr>
        <w:t xml:space="preserve">(Will/Behavior)</w:t>
      </w:r>
      <w:r>
        <w:t xml:space="preserve"> </w:t>
      </w:r>
      <w:r>
        <w:t xml:space="preserve">Jesus’ word in Matthew 5 is the trajectory of Numbers 30: let your yes be yes and your no be no. The practical application is concrete and uncomfortable. Stop making promises you do not intend to keep. Stop treating membership vows, service commitments, and financial pledges as aspirational statements rather than binding obligations. If you are considering a vow, count the cost before you speak it. If you have made commitments you cannot fulfill, do not quietly abandon them — go to the appropriate person, confess the failure, seek release, and recalibrate. The God of Numbers 30 is not interested in your sincerity at the moment of commitment; He is interested in the integrity of your word over time.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30 discloses something essential about the character of the covenant God: He is a God before whom speech is a serious moral act. The passage’s entire logic rests on a prior conviction — that the LORD hears, that He holds, and that He will not treat a word spoken to Him as casual or revocable by human convenience. This reflects the broader biblical theology of God’s own faithfulness: the God who never breaks His covenant word calls His people to speak with the same integrity before Him. Equally significant is the chapter’s theology of authority: authority is never presented as a privilege that exempts the authority-holder from responsibility but as a form of accountability that increases moral weight. The guilt-transfer clause in verses 10–15 reflects a theology in which authority before God is always stewardship, never sovereignty. Every position of leadership in the covenant community carries the Lord’s eyes upon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30 anchors covenant speech integrity in the character of the covenant Lord — which is precisely where Reformed theology insists every obligation must be grounded. The law of vows is not a self-sustaining moral code; it is the specification of what faithfulness looks like before the God who has bound Himself in covenant to His people. The absolute of verse 2 points, in the Reformed redemptive-historical reading, beyond Israelite case law to Christ — the one man who made every covenant commitment and kept every one, whose</w:t>
      </w:r>
      <w:r>
        <w:t xml:space="preserve"> </w:t>
      </w:r>
      <w:r>
        <w:t xml:space="preserve">“yes”</w:t>
      </w:r>
      <w:r>
        <w:t xml:space="preserve"> </w:t>
      </w:r>
      <w:r>
        <w:t xml:space="preserve">before the Father was absolute and whose obedience covers every vow-breaking of His people. The passage’s guilt-transfer provisions prefigure the imputation logic at the heart of Reformed soteriology: guilt moves from the one who cannot bear it to the one who holds the authority and takes it on. The application for the covenant community is therefore never bare moralism (</w:t>
      </w:r>
      <w:r>
        <w:t xml:space="preserve">“keep your word”</w:t>
      </w:r>
      <w:r>
        <w:t xml:space="preserve">) but gospel-grounded integrity: those who know the God who kept every word for them are the ones most compelled to keep their word before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not a figure before whom casual words dissolve. Every promise made to Him is heard, held, and expected to be honored — and every position of authority over another person’s commitments increases your accountability before Him, not your exemption from it. Stop making light of what you have sworn before the God who takes your words with absolute seriousness. And where you have already broken what you promised, bring it to the one who kept every covenant word in your place.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historical curiosity about ancient Israelite gender law.</w:t>
      </w:r>
      <w:r>
        <w:t xml:space="preserve"> </w:t>
      </w:r>
      <w:r>
        <w:t xml:space="preserve">The most common failure in preaching Numbers 30 is to spend the exposition explaining why this chapter’s household structure was culturally reasonable in the ancient Near East, leaving the congregation with interesting background information but no claim. The chapter’s primary freight is theological, not sociological — what it teaches about the nature of speech before God is permanently load-bearing. Preachers who spend the entire message contextualizing the male-authority provisions have buried the primary claim under secondary scaffolding.</w:t>
      </w:r>
    </w:p>
    <w:p>
      <w:pPr>
        <w:numPr>
          <w:ilvl w:val="0"/>
          <w:numId w:val="1002"/>
        </w:numPr>
      </w:pPr>
      <w:r>
        <w:rPr>
          <w:b/>
          <w:bCs/>
        </w:rPr>
        <w:t xml:space="preserve">Treating the authority provisions as the primary point rather than the vehicle.</w:t>
      </w:r>
      <w:r>
        <w:t xml:space="preserve"> </w:t>
      </w:r>
      <w:r>
        <w:t xml:space="preserve">Closely related: some expositors make this passage about authority structures — fathers and husbands and household order — as if that is the chapter’s burden. But the authority provisions are case-law applications of the foundational absolute in verse 2. The hierarchy of the chapter is: (1) words before the LORD bind; (2) therefore, authority over vows is a serious moral responsibility. To reverse this order — preaching authority structure and arriving at vow-keeping as a subsidiary point — inverts the text’s own logic.</w:t>
      </w:r>
    </w:p>
    <w:p>
      <w:pPr>
        <w:numPr>
          <w:ilvl w:val="0"/>
          <w:numId w:val="1002"/>
        </w:numPr>
      </w:pPr>
      <w:r>
        <w:rPr>
          <w:b/>
          <w:bCs/>
        </w:rPr>
        <w:t xml:space="preserve">Importing guilt without gospel.</w:t>
      </w:r>
      <w:r>
        <w:t xml:space="preserve"> </w:t>
      </w:r>
      <w:r>
        <w:t xml:space="preserve">Numbers 30 places an absolute standard before the reader: do not break your word. For people who have broken baptismal vows, marriage vows, membership vows, and private commitments to God, this passage can become a source of crushing guilt if the preacher stops there. The pitfall is moralism without the gospel ground: the one who kept every word of covenant obligation in the place of vow-breakers must appear in the exposition, not as an afterthought but as the foundation that makes genuine repentance and renewal possible rather than despairing.</w:t>
      </w:r>
    </w:p>
    <w:p>
      <w:pPr>
        <w:numPr>
          <w:ilvl w:val="0"/>
          <w:numId w:val="1002"/>
        </w:numPr>
      </w:pPr>
      <w:r>
        <w:rPr>
          <w:b/>
          <w:bCs/>
        </w:rPr>
        <w:t xml:space="preserve">Skipping the guilt-transfer clause as a legal technicality.</w:t>
      </w:r>
      <w:r>
        <w:t xml:space="preserve"> </w:t>
      </w:r>
      <w:r>
        <w:t xml:space="preserve">Verses 10–15 contain the passage’s most theologically rich material — the provision that when an authority-holder annuls a vow and the woman suffers consequences, the guilt is his. This clause is easy to pass over as a legal detail, but it is the passage’s sharpest application of its own principle: authority before God is always accountability, never exemption. Preachers who do not press this clause miss the passage’s most direct word to leaders, elders, parents, and anyone who governs others’ commitments.</w:t>
      </w:r>
    </w:p>
    <w:p>
      <w:pPr>
        <w:numPr>
          <w:ilvl w:val="0"/>
          <w:numId w:val="1002"/>
        </w:numPr>
      </w:pPr>
      <w:r>
        <w:rPr>
          <w:b/>
          <w:bCs/>
        </w:rPr>
        <w:t xml:space="preserve">Failing to distinguish the case-law vehicles from the permanently normative principles.</w:t>
      </w:r>
      <w:r>
        <w:t xml:space="preserve"> </w:t>
      </w:r>
      <w:r>
        <w:t xml:space="preserve">In the opposite direction from reducing the passage to cultural artifact: some expositors treat every element of the passage’s household law as directly transferable to contemporary application, importing specific Israelite legal mechanisms into modern covenant-community life without distinguishing the normative principles (words before God bind; authority entails responsibility) from their covenant-historically conditioned case-law forms. The Reformed approach holds these together: the principles are permanent; the specific legal mechanisms are culturally shaped expressions of those principles within the Mosaic covenant.</w:t>
      </w:r>
    </w:p>
    <w:p>
      <w:pPr>
        <w:numPr>
          <w:ilvl w:val="0"/>
          <w:numId w:val="1002"/>
        </w:numPr>
      </w:pPr>
      <w:r>
        <w:rPr>
          <w:b/>
          <w:bCs/>
        </w:rPr>
        <w:t xml:space="preserve">Missing the canonical trajectory to Christ and Matthew 5.</w:t>
      </w:r>
      <w:r>
        <w:t xml:space="preserve"> </w:t>
      </w:r>
      <w:r>
        <w:t xml:space="preserve">Numbers 30 read without its canonical fulfillment in Jesus’ words in Matthew 5:33–37 leaves the passage stranded in the old covenant. Jesus does not abolish the vow-keeping principle — He radicalizes it by cutting beneath the case-law structure to the heart: all speech is before God, always, so let your yes be yes. The preacher who does not trace this trajectory leaves the congregation with Mosaic case law rather than the full canonical claim.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2026-07-14T21:01:57Z</dcterms:created>
  <dcterms:modified xsi:type="dcterms:W3CDTF">2026-07-14T21:01:57Z</dcterms:modified>
</cp:coreProperties>
</file>

<file path=docProps/custom.xml><?xml version="1.0" encoding="utf-8"?>
<Properties xmlns="http://schemas.openxmlformats.org/officeDocument/2006/custom-properties" xmlns:vt="http://schemas.openxmlformats.org/officeDocument/2006/docPropsVTypes"/>
</file>